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highlight w:val="none"/>
          <w:shd w:fill="auto" w:val="clear"/>
        </w:rPr>
      </w:pPr>
      <w:r>
        <w:rPr>
          <w:color w:themeColor="dark1" w:val="000000"/>
          <w:sz w:val="28"/>
          <w:szCs w:val="28"/>
          <w:shd w:fill="auto" w:val="clear"/>
        </w:rPr>
        <w:t xml:space="preserve">Пояснительная  записка </w:t>
      </w:r>
    </w:p>
    <w:p>
      <w:pPr>
        <w:pStyle w:val="Normal"/>
        <w:jc w:val="center"/>
        <w:rPr>
          <w:highlight w:val="none"/>
          <w:shd w:fill="auto" w:val="clear"/>
        </w:rPr>
      </w:pPr>
      <w:r>
        <w:rPr>
          <w:color w:themeColor="dark1" w:val="000000"/>
          <w:sz w:val="28"/>
          <w:szCs w:val="28"/>
          <w:shd w:fill="auto" w:val="clear"/>
        </w:rPr>
        <w:t xml:space="preserve">к уточненному прогнозу социально-экономического развития </w:t>
      </w:r>
    </w:p>
    <w:p>
      <w:pPr>
        <w:pStyle w:val="Normal"/>
        <w:jc w:val="center"/>
        <w:rPr>
          <w:highlight w:val="none"/>
          <w:shd w:fill="auto" w:val="clear"/>
        </w:rPr>
      </w:pPr>
      <w:r>
        <w:rPr>
          <w:color w:themeColor="dark1" w:val="000000"/>
          <w:sz w:val="28"/>
          <w:szCs w:val="28"/>
          <w:shd w:fill="auto" w:val="clear"/>
        </w:rPr>
        <w:t xml:space="preserve">Туркменского муниципального округа Ставропольского края </w:t>
      </w:r>
    </w:p>
    <w:p>
      <w:pPr>
        <w:pStyle w:val="Normal"/>
        <w:jc w:val="center"/>
        <w:rPr>
          <w:highlight w:val="none"/>
          <w:shd w:fill="auto" w:val="clear"/>
        </w:rPr>
      </w:pPr>
      <w:r>
        <w:rPr>
          <w:color w:themeColor="dark1" w:val="000000"/>
          <w:sz w:val="28"/>
          <w:szCs w:val="28"/>
          <w:shd w:fill="auto" w:val="clear"/>
        </w:rPr>
        <w:t>на 2026 год и на плановый период 2027 и 2028 годов</w:t>
      </w:r>
    </w:p>
    <w:p>
      <w:pPr>
        <w:pStyle w:val="Normal"/>
        <w:jc w:val="center"/>
        <w:rPr>
          <w:color w:themeColor="dark1" w:val="000000"/>
          <w:sz w:val="28"/>
          <w:szCs w:val="28"/>
          <w:highlight w:val="none"/>
          <w:shd w:fill="auto" w:val="clear"/>
        </w:rPr>
      </w:pPr>
      <w:r>
        <w:rPr>
          <w:color w:themeColor="dark1" w:val="000000"/>
          <w:sz w:val="28"/>
          <w:szCs w:val="28"/>
          <w:shd w:fill="auto" w:val="clear"/>
        </w:rPr>
      </w:r>
    </w:p>
    <w:p>
      <w:pPr>
        <w:pStyle w:val="Normal"/>
        <w:ind w:firstLine="567"/>
        <w:jc w:val="both"/>
        <w:rPr>
          <w:highlight w:val="none"/>
          <w:shd w:fill="auto" w:val="clear"/>
        </w:rPr>
      </w:pPr>
      <w:r>
        <w:rPr>
          <w:sz w:val="28"/>
          <w:szCs w:val="28"/>
          <w:shd w:fill="auto" w:val="clear"/>
          <w:lang w:eastAsia="en-US"/>
        </w:rPr>
        <w:t xml:space="preserve">Уточненный прогноз </w:t>
      </w:r>
      <w:r>
        <w:rPr>
          <w:sz w:val="28"/>
          <w:szCs w:val="28"/>
          <w:shd w:fill="auto" w:val="clear"/>
        </w:rPr>
        <w:t xml:space="preserve">социально-экономического развития Туркменского муниципального округа Ставропольского края на 2026 </w:t>
      </w:r>
      <w:r>
        <w:rPr>
          <w:color w:themeColor="dark1" w:val="000000"/>
          <w:sz w:val="28"/>
          <w:szCs w:val="28"/>
          <w:shd w:fill="auto" w:val="clear"/>
        </w:rPr>
        <w:t>год и на период до 2028 года</w:t>
      </w:r>
      <w:r>
        <w:rPr>
          <w:sz w:val="28"/>
          <w:szCs w:val="28"/>
          <w:shd w:fill="auto" w:val="clear"/>
        </w:rPr>
        <w:t xml:space="preserve"> (далее - Прогноз) разработан на основе анализа сложившейся ситуации в экономике, тенденций ее развития и в соответствии со сценарными условиями функционирования экономики Ставропольского края. </w:t>
      </w:r>
    </w:p>
    <w:p>
      <w:pPr>
        <w:pStyle w:val="Normal"/>
        <w:ind w:firstLine="567"/>
        <w:jc w:val="both"/>
        <w:rPr>
          <w:highlight w:val="none"/>
          <w:shd w:fill="auto" w:val="clear"/>
        </w:rPr>
      </w:pPr>
      <w:r>
        <w:rPr>
          <w:sz w:val="28"/>
          <w:szCs w:val="28"/>
          <w:shd w:fill="auto" w:val="clear"/>
        </w:rPr>
        <w:t xml:space="preserve">Прогноз учитывает итоги социально-экономического развития Туркменского муниципального округа за 2023-2024 годы и январь-сентябрь 2025 года, а также прогнозные данные </w:t>
      </w:r>
      <w:r>
        <w:rPr>
          <w:rFonts w:eastAsia="Calibri" w:cs="Times New Roman"/>
          <w:kern w:val="0"/>
          <w:sz w:val="28"/>
          <w:szCs w:val="28"/>
          <w:shd w:fill="auto" w:val="clear"/>
          <w:lang w:val="ru-RU" w:eastAsia="en-US" w:bidi="ar-SA"/>
        </w:rPr>
        <w:t>отраслевых (функциональных), территориальных органов администрации Туркменского муниципального округа.</w:t>
      </w:r>
    </w:p>
    <w:p>
      <w:pPr>
        <w:pStyle w:val="BodyText"/>
        <w:ind w:hanging="0"/>
        <w:jc w:val="both"/>
        <w:rPr>
          <w:highlight w:val="none"/>
          <w:shd w:fill="auto" w:val="clear"/>
        </w:rPr>
      </w:pPr>
      <w:r>
        <w:rPr>
          <w:szCs w:val="28"/>
          <w:shd w:fill="auto" w:val="clear"/>
          <w:lang w:eastAsia="en-US"/>
        </w:rPr>
        <w:tab/>
        <w:t xml:space="preserve">Прогноз разработан </w:t>
      </w:r>
      <w:r>
        <w:rPr>
          <w:color w:val="000000"/>
          <w:szCs w:val="28"/>
          <w:shd w:fill="auto" w:val="clear"/>
        </w:rPr>
        <w:t>в двух вариантах: консервативный и базовый. Р</w:t>
      </w:r>
      <w:r>
        <w:rPr>
          <w:szCs w:val="28"/>
          <w:shd w:fill="auto" w:val="clear"/>
        </w:rPr>
        <w:t>азличие вариантов обусловлено отличием моделей поведения частного бизнеса, перспективами его конкурентоспособности и эффективностью реализации  государственной политики развития, перспективами структурного и бюджетного маневра.</w:t>
      </w:r>
    </w:p>
    <w:p>
      <w:pPr>
        <w:pStyle w:val="Normal"/>
        <w:ind w:firstLine="540"/>
        <w:jc w:val="center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Spacing"/>
        <w:ind w:firstLine="720"/>
        <w:jc w:val="center"/>
        <w:rPr>
          <w:highlight w:val="none"/>
          <w:shd w:fill="auto" w:val="clear"/>
        </w:rPr>
      </w:pPr>
      <w:r>
        <w:rPr>
          <w:rFonts w:ascii="Times New Roman" w:hAnsi="Times New Roman"/>
          <w:b/>
          <w:sz w:val="28"/>
          <w:szCs w:val="28"/>
          <w:shd w:fill="auto" w:val="clear"/>
        </w:rPr>
        <w:t>Промышленное производство</w:t>
      </w:r>
    </w:p>
    <w:p>
      <w:pPr>
        <w:pStyle w:val="Normal"/>
        <w:ind w:firstLine="567"/>
        <w:jc w:val="both"/>
        <w:rPr>
          <w:highlight w:val="none"/>
          <w:shd w:fill="auto" w:val="clear"/>
        </w:rPr>
      </w:pPr>
      <w:r>
        <w:rPr>
          <w:sz w:val="28"/>
          <w:szCs w:val="28"/>
          <w:shd w:fill="auto" w:val="clear"/>
        </w:rPr>
        <w:t>Производство промышленной продукции на территории округа в отчетном периоде представлено обрабатывающим производством и обеспечением электрической энергией, газом и паром.</w:t>
      </w:r>
    </w:p>
    <w:p>
      <w:pPr>
        <w:pStyle w:val="Normal"/>
        <w:ind w:firstLine="567"/>
        <w:jc w:val="both"/>
        <w:rPr>
          <w:highlight w:val="none"/>
          <w:shd w:fill="auto" w:val="clear"/>
        </w:rPr>
      </w:pPr>
      <w:r>
        <w:rPr>
          <w:sz w:val="28"/>
          <w:szCs w:val="28"/>
          <w:shd w:fill="auto" w:val="clear"/>
        </w:rPr>
        <w:t>Объем отгруженных товаров собственного производства, выполненных работ и услуг (далее - объем отгруженных товаров) по промышленным видам деятельности за январь - сентябрь 2025 года составил 145,6 млн. рублей</w:t>
      </w:r>
      <w:r>
        <w:rPr>
          <w:szCs w:val="28"/>
          <w:shd w:fill="auto" w:val="clear"/>
        </w:rPr>
        <w:t xml:space="preserve"> </w:t>
      </w:r>
      <w:r>
        <w:rPr>
          <w:sz w:val="28"/>
          <w:szCs w:val="28"/>
          <w:shd w:fill="auto" w:val="clear"/>
        </w:rPr>
        <w:t>или 123,7 % к уровню аналогичного периода прошлого года (в действующих ценах). Ожидается, что по итогам 2025 года объем отгруженных товаров достигнет 206,8 млн. рублей.</w:t>
      </w:r>
    </w:p>
    <w:p>
      <w:pPr>
        <w:pStyle w:val="Normal"/>
        <w:ind w:firstLine="567"/>
        <w:jc w:val="both"/>
        <w:rPr>
          <w:highlight w:val="none"/>
          <w:shd w:fill="auto" w:val="clear"/>
        </w:rPr>
      </w:pPr>
      <w:r>
        <w:rPr>
          <w:rFonts w:eastAsia="Calibri"/>
          <w:color w:val="000000"/>
          <w:sz w:val="28"/>
          <w:szCs w:val="28"/>
          <w:shd w:fill="auto" w:val="clear"/>
        </w:rPr>
        <w:t>О</w:t>
      </w:r>
      <w:r>
        <w:rPr>
          <w:rFonts w:eastAsia="Calibri"/>
          <w:sz w:val="28"/>
          <w:szCs w:val="28"/>
          <w:shd w:fill="auto" w:val="clear"/>
        </w:rPr>
        <w:t>бъем отгруженных товаров в обрабатывающих производствах за январь-сентябрь 2025 года составил 11,0</w:t>
      </w:r>
      <w:r>
        <w:rPr>
          <w:rFonts w:eastAsia="Calibri"/>
          <w:color w:val="000000"/>
          <w:sz w:val="28"/>
          <w:szCs w:val="28"/>
          <w:shd w:fill="auto" w:val="clear"/>
        </w:rPr>
        <w:t xml:space="preserve"> </w:t>
      </w:r>
      <w:r>
        <w:rPr>
          <w:rFonts w:eastAsia="Calibri"/>
          <w:sz w:val="28"/>
          <w:szCs w:val="28"/>
          <w:shd w:fill="auto" w:val="clear"/>
        </w:rPr>
        <w:t xml:space="preserve">млн. рублей или 96,3 % к уровню </w:t>
      </w:r>
      <w:r>
        <w:rPr>
          <w:sz w:val="28"/>
          <w:szCs w:val="28"/>
          <w:shd w:fill="auto" w:val="clear"/>
        </w:rPr>
        <w:t>ана</w:t>
        <w:softHyphen/>
        <w:t>логичного периода прошлого года</w:t>
      </w:r>
      <w:r>
        <w:rPr>
          <w:rFonts w:eastAsia="Calibri"/>
          <w:sz w:val="28"/>
          <w:szCs w:val="28"/>
          <w:shd w:fill="auto" w:val="clear"/>
        </w:rPr>
        <w:t>. П</w:t>
      </w:r>
      <w:r>
        <w:rPr>
          <w:rFonts w:eastAsia="Calibri"/>
          <w:color w:val="000000"/>
          <w:sz w:val="28"/>
          <w:szCs w:val="28"/>
          <w:shd w:fill="auto" w:val="clear"/>
        </w:rPr>
        <w:t>о итогам</w:t>
      </w:r>
      <w:r>
        <w:rPr>
          <w:rFonts w:eastAsia="Calibri"/>
          <w:sz w:val="28"/>
          <w:szCs w:val="28"/>
          <w:shd w:fill="auto" w:val="clear"/>
        </w:rPr>
        <w:t xml:space="preserve"> 2025 год</w:t>
      </w:r>
      <w:r>
        <w:rPr>
          <w:rFonts w:eastAsia="Calibri"/>
          <w:color w:val="000000"/>
          <w:sz w:val="28"/>
          <w:szCs w:val="28"/>
          <w:shd w:fill="auto" w:val="clear"/>
        </w:rPr>
        <w:t>а</w:t>
      </w:r>
      <w:r>
        <w:rPr>
          <w:rFonts w:eastAsia="Calibri"/>
          <w:sz w:val="28"/>
          <w:szCs w:val="28"/>
          <w:shd w:fill="auto" w:val="clear"/>
        </w:rPr>
        <w:t xml:space="preserve"> данный показатель прогнозируется на уровне 15,26 млн. рублей.</w:t>
      </w:r>
      <w:r>
        <w:rPr>
          <w:sz w:val="28"/>
          <w:szCs w:val="28"/>
          <w:shd w:fill="auto" w:val="clear"/>
        </w:rPr>
        <w:t xml:space="preserve"> К 2028 году значение данного показателя достигнет 16,2 млн. рублей.</w:t>
      </w:r>
    </w:p>
    <w:p>
      <w:pPr>
        <w:pStyle w:val="Normal"/>
        <w:ind w:firstLine="567"/>
        <w:jc w:val="both"/>
        <w:rPr>
          <w:highlight w:val="none"/>
          <w:shd w:fill="auto" w:val="clear"/>
        </w:rPr>
      </w:pPr>
      <w:r>
        <w:rPr>
          <w:sz w:val="28"/>
          <w:szCs w:val="28"/>
          <w:shd w:fill="auto" w:val="clear"/>
        </w:rPr>
        <w:t>Объем обеспечения электрической энергией и газом к 2028 году составит 194,7 млн. рублей.</w:t>
      </w:r>
    </w:p>
    <w:p>
      <w:pPr>
        <w:pStyle w:val="Normal"/>
        <w:ind w:firstLine="567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jc w:val="center"/>
        <w:rPr>
          <w:highlight w:val="none"/>
          <w:shd w:fill="auto" w:val="clear"/>
        </w:rPr>
      </w:pPr>
      <w:r>
        <w:rPr>
          <w:b/>
          <w:sz w:val="28"/>
          <w:szCs w:val="28"/>
          <w:shd w:fill="auto" w:val="clear"/>
        </w:rPr>
        <w:t>Сельское хозяйство</w:t>
      </w:r>
    </w:p>
    <w:p>
      <w:pPr>
        <w:pStyle w:val="Normal"/>
        <w:jc w:val="both"/>
        <w:rPr>
          <w:highlight w:val="none"/>
          <w:shd w:fill="auto" w:val="clear"/>
        </w:rPr>
      </w:pPr>
      <w:r>
        <w:rPr>
          <w:rFonts w:cs="Times New Roman"/>
          <w:sz w:val="28"/>
          <w:szCs w:val="28"/>
          <w:shd w:fill="auto" w:val="clear"/>
        </w:rPr>
        <w:tab/>
        <w:t xml:space="preserve">Предварительно объем продукции сельского хозяйства за 2025 год в денежном выражении составит около 8250 млн. рублей, из которых продукция растениеводства составит 46% или 3792 млн. рублей, продукция животноводства - 54% или 4458 млн. рублей. </w:t>
      </w:r>
    </w:p>
    <w:p>
      <w:pPr>
        <w:pStyle w:val="Normal"/>
        <w:spacing w:lineRule="auto" w:line="240" w:before="0" w:after="0"/>
        <w:ind w:firstLine="709" w:right="0"/>
        <w:jc w:val="both"/>
        <w:rPr>
          <w:highlight w:val="none"/>
          <w:shd w:fill="auto" w:val="clear"/>
        </w:rPr>
      </w:pPr>
      <w:r>
        <w:rPr>
          <w:rFonts w:cs="Times New Roman"/>
          <w:sz w:val="28"/>
          <w:szCs w:val="28"/>
          <w:shd w:fill="auto" w:val="clear"/>
        </w:rPr>
        <w:t xml:space="preserve">К 2028 году по базовому варианту прогнозируется незначительный рост валовой продукции на 0,6%, в основном за счет увеличения цен. В натуральном выражении необходимо отметить, что в 2025 году прогнозируется значительный рост валового сбора зерна, который составит 323,1 тыс. тонн </w:t>
      </w:r>
      <w:r>
        <w:rPr>
          <w:rFonts w:cs="Times New Roman"/>
          <w:sz w:val="28"/>
          <w:szCs w:val="28"/>
          <w:shd w:fill="auto" w:val="clear"/>
        </w:rPr>
        <w:t xml:space="preserve">(2024 г. - 245,7 тыс. тонн). </w:t>
      </w:r>
    </w:p>
    <w:p>
      <w:pPr>
        <w:pStyle w:val="Normal"/>
        <w:spacing w:lineRule="auto" w:line="240" w:before="0" w:after="0"/>
        <w:ind w:hanging="0" w:right="0"/>
        <w:jc w:val="both"/>
        <w:rPr>
          <w:highlight w:val="none"/>
          <w:shd w:fill="auto" w:val="clear"/>
        </w:rPr>
      </w:pPr>
      <w:r>
        <w:rPr>
          <w:rFonts w:cs="Times New Roman"/>
          <w:sz w:val="28"/>
          <w:szCs w:val="28"/>
          <w:shd w:fill="auto" w:val="clear"/>
        </w:rPr>
        <w:tab/>
      </w:r>
      <w:r>
        <w:rPr>
          <w:rFonts w:cs="Times New Roman"/>
          <w:sz w:val="28"/>
          <w:szCs w:val="28"/>
          <w:shd w:fill="auto" w:val="clear"/>
        </w:rPr>
        <w:t>В</w:t>
      </w:r>
      <w:r>
        <w:rPr>
          <w:rFonts w:cs="Times New Roman"/>
          <w:sz w:val="28"/>
          <w:szCs w:val="28"/>
          <w:shd w:fill="auto" w:val="clear"/>
        </w:rPr>
        <w:t xml:space="preserve"> 2025 году оценочно объем валового сбора семян масличных культур, а именно подсолнечника, увеличится на 5% в связи с увеличением объема посевных площадей.</w:t>
      </w:r>
    </w:p>
    <w:p>
      <w:pPr>
        <w:pStyle w:val="Normal"/>
        <w:spacing w:lineRule="auto" w:line="240" w:before="0" w:after="0"/>
        <w:ind w:firstLine="709" w:right="0"/>
        <w:jc w:val="both"/>
        <w:rPr>
          <w:highlight w:val="none"/>
          <w:shd w:fill="auto" w:val="clear"/>
        </w:rPr>
      </w:pPr>
      <w:r>
        <w:rPr>
          <w:rFonts w:cs="Times New Roman"/>
          <w:sz w:val="28"/>
          <w:szCs w:val="28"/>
          <w:shd w:fill="auto" w:val="clear"/>
        </w:rPr>
        <w:t>Выращиванием картофеля и овощей на территории округа занимаются граждане, ведущие личное подсобное хозяйство, в связи с этим, величина валового сбора напрямую зависит от природно-климатических условий. Так, прогнозируется сохранение валового сбора картофеля и овощей на уровне 0,1 тыс. тонн и 0,4 тыс. тонн соответственно к 2028 году.</w:t>
      </w:r>
    </w:p>
    <w:p>
      <w:pPr>
        <w:pStyle w:val="Normal"/>
        <w:spacing w:lineRule="auto" w:line="240" w:before="0" w:after="0"/>
        <w:ind w:firstLine="708" w:right="0"/>
        <w:jc w:val="both"/>
        <w:rPr>
          <w:highlight w:val="none"/>
          <w:shd w:fill="auto" w:val="clear"/>
        </w:rPr>
      </w:pPr>
      <w:r>
        <w:rPr>
          <w:rFonts w:cs="Times New Roman"/>
          <w:sz w:val="28"/>
          <w:szCs w:val="28"/>
          <w:shd w:fill="auto" w:val="clear"/>
        </w:rPr>
        <w:t>В сельскохозяйственных организациях показатель производство скота и птицы на убой (в живом весе) в 2024 году составил 48,2 тыс. тонн, что на 4% ниже уровня 2023 года. В 2025 году оценивается незначительный рост данного показателя на 2% за счет увеличения объема реализации в течение года. Основными причинами сдерживающими рост данного показателя являются более длительный цикл выращивания КРС, а также высокая себестоимость такого производства.</w:t>
      </w:r>
    </w:p>
    <w:p>
      <w:pPr>
        <w:pStyle w:val="Normal"/>
        <w:spacing w:lineRule="auto" w:line="240" w:before="0" w:after="0"/>
        <w:ind w:firstLine="709" w:right="0"/>
        <w:jc w:val="both"/>
        <w:rPr>
          <w:highlight w:val="none"/>
          <w:shd w:fill="auto" w:val="clear"/>
        </w:rPr>
      </w:pPr>
      <w:r>
        <w:rPr>
          <w:rFonts w:cs="Times New Roman"/>
          <w:sz w:val="28"/>
          <w:szCs w:val="28"/>
          <w:shd w:fill="auto" w:val="clear"/>
        </w:rPr>
        <w:t>Объем производства молока в 2024 году составил 9,4  тыс. тонн. Основная доля 90% приходится на личные подсобные хозяйства, 10% на крестьянские (фермерские) хозяйства. На формирование данного показателя повлияло высокая стоимость и дефицит сочных кормов в личных подсобных хозяйствах. В 2025 году прогнозируется незначительный рост данного показателя до 10,0 тыс. тонн за счет роста цены реализации такой продукции.</w:t>
      </w:r>
    </w:p>
    <w:p>
      <w:pPr>
        <w:pStyle w:val="Normal"/>
        <w:spacing w:lineRule="auto" w:line="240" w:before="0" w:after="0"/>
        <w:ind w:firstLine="708" w:right="0"/>
        <w:jc w:val="both"/>
        <w:rPr>
          <w:highlight w:val="none"/>
          <w:shd w:fill="auto" w:val="clear"/>
        </w:rPr>
      </w:pPr>
      <w:r>
        <w:rPr>
          <w:rFonts w:cs="Times New Roman"/>
          <w:sz w:val="28"/>
          <w:szCs w:val="28"/>
          <w:shd w:fill="auto" w:val="clear"/>
        </w:rPr>
        <w:t xml:space="preserve">В отношении производства яиц: за 2024 год показатель составил           9 837 тыс. штук, в 2025 году прогнозируется рост объема производства на 1%, что может быть связано как с повышением яйценоскости, так и ростом поголовья птиц в хозяйствах населения округа. К  2028 году  прогнозируется производство  яиц  на  уровне 11 200 тыс. штук в год. </w:t>
      </w:r>
    </w:p>
    <w:p>
      <w:pPr>
        <w:pStyle w:val="Normal"/>
        <w:spacing w:lineRule="auto" w:line="240" w:before="0" w:after="0"/>
        <w:ind w:firstLine="709" w:right="0"/>
        <w:jc w:val="both"/>
        <w:rPr>
          <w:highlight w:val="none"/>
          <w:shd w:fill="auto" w:val="clear"/>
        </w:rPr>
      </w:pPr>
      <w:r>
        <w:rPr>
          <w:rFonts w:cs="Times New Roman"/>
          <w:sz w:val="28"/>
          <w:szCs w:val="28"/>
          <w:shd w:fill="auto" w:val="clear"/>
        </w:rPr>
        <w:t>Прогноз составлен на статистических и оперативных данных за период с 2023 года по 2024 год.</w:t>
      </w:r>
    </w:p>
    <w:p>
      <w:pPr>
        <w:pStyle w:val="Normal"/>
        <w:ind w:firstLine="708"/>
        <w:jc w:val="center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firstLine="708"/>
        <w:jc w:val="center"/>
        <w:rPr>
          <w:highlight w:val="none"/>
          <w:shd w:fill="auto" w:val="clear"/>
        </w:rPr>
      </w:pPr>
      <w:r>
        <w:rPr>
          <w:b/>
          <w:sz w:val="28"/>
          <w:szCs w:val="28"/>
          <w:shd w:fill="auto" w:val="clear"/>
        </w:rPr>
        <w:t>Строительство</w:t>
      </w:r>
    </w:p>
    <w:p>
      <w:pPr>
        <w:pStyle w:val="Normal"/>
        <w:ind w:firstLine="567"/>
        <w:jc w:val="both"/>
        <w:rPr>
          <w:highlight w:val="none"/>
          <w:shd w:fill="auto" w:val="clear"/>
        </w:rPr>
      </w:pPr>
      <w:r>
        <w:rPr>
          <w:color w:val="000000"/>
          <w:sz w:val="28"/>
          <w:szCs w:val="28"/>
          <w:shd w:fill="auto" w:val="clear"/>
        </w:rPr>
        <w:t>За 9 месяцев</w:t>
      </w:r>
      <w:r>
        <w:rPr>
          <w:sz w:val="28"/>
          <w:szCs w:val="28"/>
          <w:shd w:fill="auto" w:val="clear"/>
        </w:rPr>
        <w:t xml:space="preserve"> 2025 года введено 5,476 тыс. кв. м общей площади жилых помещений, что в 1,2 р. выше уровня соответствующего периода 2024 года. Ожидается, что по итогам текущего года будет введено в действие около    5,9 тыс. кв. м. общей площади жилых помещений. К 2028 году в базовом варианте значение показателя составит </w:t>
      </w:r>
      <w:r>
        <w:rPr>
          <w:color w:val="000000"/>
          <w:sz w:val="28"/>
          <w:szCs w:val="28"/>
          <w:shd w:fill="auto" w:val="clear"/>
        </w:rPr>
        <w:t>6,3</w:t>
      </w:r>
      <w:r>
        <w:rPr>
          <w:sz w:val="28"/>
          <w:szCs w:val="28"/>
          <w:shd w:fill="auto" w:val="clear"/>
        </w:rPr>
        <w:t xml:space="preserve"> тыс. кв. м.</w:t>
      </w:r>
      <w:r>
        <w:rPr>
          <w:color w:themeColor="dark1" w:val="000000"/>
          <w:sz w:val="28"/>
          <w:szCs w:val="28"/>
          <w:shd w:fill="auto" w:val="clear"/>
        </w:rPr>
        <w:t xml:space="preserve">  </w:t>
      </w:r>
      <w:r>
        <w:rPr>
          <w:color w:themeColor="dark1" w:val="000000"/>
          <w:sz w:val="28"/>
          <w:szCs w:val="28"/>
          <w:shd w:fill="FFFF00" w:val="clear"/>
        </w:rPr>
        <w:t xml:space="preserve"> </w:t>
      </w:r>
      <w:r>
        <w:rPr>
          <w:color w:themeColor="dark1" w:val="000000"/>
          <w:sz w:val="28"/>
          <w:szCs w:val="28"/>
          <w:shd w:fill="auto" w:val="clear"/>
        </w:rPr>
        <w:t xml:space="preserve">    </w:t>
      </w:r>
    </w:p>
    <w:p>
      <w:pPr>
        <w:pStyle w:val="Normal"/>
        <w:ind w:firstLine="708"/>
        <w:jc w:val="center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firstLine="708"/>
        <w:jc w:val="center"/>
        <w:rPr>
          <w:highlight w:val="none"/>
          <w:shd w:fill="auto" w:val="clear"/>
        </w:rPr>
      </w:pPr>
      <w:r>
        <w:rPr>
          <w:b/>
          <w:sz w:val="28"/>
          <w:szCs w:val="28"/>
          <w:shd w:fill="auto" w:val="clear"/>
        </w:rPr>
        <w:t xml:space="preserve">Торговля и услуги </w:t>
      </w:r>
    </w:p>
    <w:p>
      <w:pPr>
        <w:pStyle w:val="Normal"/>
        <w:ind w:firstLine="709"/>
        <w:jc w:val="both"/>
        <w:rPr>
          <w:highlight w:val="none"/>
          <w:shd w:fill="auto" w:val="clear"/>
        </w:rPr>
      </w:pPr>
      <w:r>
        <w:rPr>
          <w:sz w:val="28"/>
          <w:szCs w:val="28"/>
          <w:shd w:fill="auto" w:val="clear"/>
        </w:rPr>
        <w:t xml:space="preserve">Малое и среднее предпринимательство округа продолжает динамично развиваться. Ожидается, что в среднесрочной перспективе сохранится стабильная ситуация в сфере развития </w:t>
      </w:r>
      <w:r>
        <w:rPr>
          <w:color w:val="000000"/>
          <w:sz w:val="28"/>
          <w:szCs w:val="28"/>
          <w:shd w:fill="auto" w:val="clear"/>
        </w:rPr>
        <w:t>м</w:t>
      </w:r>
      <w:r>
        <w:rPr>
          <w:sz w:val="28"/>
          <w:szCs w:val="28"/>
          <w:shd w:fill="auto" w:val="clear"/>
        </w:rPr>
        <w:t xml:space="preserve">алого и среднего предпринимательства. </w:t>
      </w:r>
    </w:p>
    <w:p>
      <w:pPr>
        <w:pStyle w:val="Normal"/>
        <w:ind w:firstLine="709"/>
        <w:jc w:val="both"/>
        <w:rPr>
          <w:highlight w:val="none"/>
          <w:shd w:fill="auto" w:val="clear"/>
        </w:rPr>
      </w:pPr>
      <w:r>
        <w:rPr>
          <w:sz w:val="28"/>
          <w:szCs w:val="28"/>
          <w:shd w:fill="auto" w:val="clear"/>
        </w:rPr>
        <w:t xml:space="preserve">В текущем году в округе продолжается рост потребительской активности. Так за январь-март 2025 года оборот розничной торговли составил       113,9 млн. рублей, что на 16,2 млн. рублей выше уровня аналогичного периода 2024 года. </w:t>
      </w:r>
    </w:p>
    <w:p>
      <w:pPr>
        <w:pStyle w:val="Normal"/>
        <w:jc w:val="both"/>
        <w:rPr>
          <w:highlight w:val="none"/>
          <w:shd w:fill="auto" w:val="clear"/>
        </w:rPr>
      </w:pPr>
      <w:r>
        <w:rPr>
          <w:sz w:val="28"/>
          <w:szCs w:val="28"/>
          <w:shd w:fill="auto" w:val="clear"/>
        </w:rPr>
        <w:tab/>
        <w:t xml:space="preserve">С учетом реальных располагаемых денежных доходов населения, по прогнозным расчетам, оборот розничной торговли в 2025 году в базовом варианте составит 447,7 млн. рублей. К 2028 году прогнозируется рост оборота розничной торговли в базовом варианте до 482,33 млн. рублей. </w:t>
      </w:r>
    </w:p>
    <w:p>
      <w:pPr>
        <w:pStyle w:val="Normal"/>
        <w:ind w:firstLine="680"/>
        <w:jc w:val="both"/>
        <w:rPr>
          <w:highlight w:val="none"/>
          <w:shd w:fill="auto" w:val="clear"/>
        </w:rPr>
      </w:pPr>
      <w:r>
        <w:rPr>
          <w:sz w:val="28"/>
          <w:szCs w:val="28"/>
          <w:shd w:fill="auto" w:val="clear"/>
        </w:rPr>
        <w:t>Сфера услуг является важной, перспективной и быстроразвивающейся отраслью экономики. Объем платных услуг, оказанных населению в 2025 году, планируется в сумме 381,2 млн. рублей. По прогнозным расчетам объем платных услуг населению к 2028 году составит 391,6 млн. рублей.</w:t>
      </w:r>
    </w:p>
    <w:p>
      <w:pPr>
        <w:pStyle w:val="Normal"/>
        <w:ind w:firstLine="708"/>
        <w:jc w:val="center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firstLine="708"/>
        <w:jc w:val="center"/>
        <w:rPr>
          <w:highlight w:val="none"/>
          <w:shd w:fill="auto" w:val="clear"/>
        </w:rPr>
      </w:pPr>
      <w:r>
        <w:rPr>
          <w:b/>
          <w:sz w:val="28"/>
          <w:szCs w:val="28"/>
          <w:shd w:fill="auto" w:val="clear"/>
        </w:rPr>
        <w:t xml:space="preserve">Малое и среднее предпринимательство, </w:t>
      </w:r>
    </w:p>
    <w:p>
      <w:pPr>
        <w:pStyle w:val="Normal"/>
        <w:ind w:firstLine="708"/>
        <w:jc w:val="center"/>
        <w:rPr>
          <w:highlight w:val="none"/>
          <w:shd w:fill="auto" w:val="clear"/>
        </w:rPr>
      </w:pPr>
      <w:r>
        <w:rPr>
          <w:b/>
          <w:sz w:val="28"/>
          <w:szCs w:val="28"/>
          <w:shd w:fill="auto" w:val="clear"/>
        </w:rPr>
        <w:t>включая микропредприятия</w:t>
      </w:r>
    </w:p>
    <w:p>
      <w:pPr>
        <w:pStyle w:val="Normal"/>
        <w:jc w:val="both"/>
        <w:rPr>
          <w:i w:val="false"/>
          <w:i w:val="false"/>
          <w:iCs w:val="false"/>
        </w:rPr>
      </w:pPr>
      <w:r>
        <w:rPr>
          <w:i w:val="false"/>
          <w:iCs w:val="false"/>
          <w:sz w:val="28"/>
          <w:szCs w:val="28"/>
          <w:shd w:fill="auto" w:val="clear"/>
        </w:rPr>
        <w:tab/>
        <w:t>По предварительной оценке к концу 2025 года количество малых и средних предприятий составит 19 единиц с численностью работающих    0,420 тыс. человек. К 2028 году число малых и средних предприятий, включая микропредприятия, останется на уровне 19 единиц, прогнозируемая численность работающих - 0,411 тыс. человек.</w:t>
      </w:r>
    </w:p>
    <w:p>
      <w:pPr>
        <w:pStyle w:val="Normal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jc w:val="center"/>
        <w:rPr>
          <w:highlight w:val="none"/>
          <w:shd w:fill="auto" w:val="clear"/>
        </w:rPr>
      </w:pPr>
      <w:r>
        <w:rPr>
          <w:b/>
          <w:sz w:val="28"/>
          <w:szCs w:val="28"/>
          <w:shd w:fill="auto" w:val="clear"/>
        </w:rPr>
        <w:t>Инвестиции</w:t>
      </w:r>
    </w:p>
    <w:p>
      <w:pPr>
        <w:pStyle w:val="Normal"/>
        <w:ind w:firstLine="708"/>
        <w:jc w:val="both"/>
        <w:rPr>
          <w:highlight w:val="none"/>
          <w:shd w:fill="auto" w:val="clear"/>
        </w:rPr>
      </w:pPr>
      <w:r>
        <w:rPr>
          <w:sz w:val="28"/>
          <w:szCs w:val="28"/>
          <w:shd w:fill="auto" w:val="clear"/>
        </w:rPr>
        <w:t>По данным Управления Федеральной службы государственной статистики по Северо-Кавказскому федеральному округу за январь-июнь 2025 года объем инвестиций в основной капитал составил 55,8 млн. рублей или 89,4 процента к уровню аналогичного периода прошлого года. Прогнозируется, что к 2028 году объем инвестиций в основной капитал за счет всех источников финансирования в базовом варианте составит 153,8 млн. рублей.</w:t>
      </w:r>
    </w:p>
    <w:p>
      <w:pPr>
        <w:pStyle w:val="Normal"/>
        <w:ind w:firstLine="567"/>
        <w:jc w:val="both"/>
        <w:rPr>
          <w:highlight w:val="none"/>
          <w:shd w:fill="auto" w:val="clear"/>
        </w:rPr>
      </w:pPr>
      <w:r>
        <w:rPr>
          <w:sz w:val="28"/>
          <w:szCs w:val="28"/>
          <w:shd w:fill="auto" w:val="clear"/>
        </w:rPr>
        <w:t xml:space="preserve"> </w:t>
      </w:r>
      <w:r>
        <w:rPr>
          <w:sz w:val="28"/>
          <w:szCs w:val="28"/>
          <w:shd w:fill="auto" w:val="clear"/>
        </w:rPr>
        <w:t xml:space="preserve">Основными факторами, сдерживающими инвестиционное развитие округа, остаются дефицит энергоресурсов (отсутствие свободных мощностей) и необходимой инженерной инфраструктуры. </w:t>
      </w:r>
    </w:p>
    <w:p>
      <w:pPr>
        <w:pStyle w:val="Normal"/>
        <w:ind w:firstLine="708"/>
        <w:jc w:val="both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spacing w:before="0" w:after="0"/>
        <w:ind w:firstLine="709"/>
        <w:contextualSpacing/>
        <w:jc w:val="center"/>
        <w:rPr>
          <w:i w:val="false"/>
          <w:i w:val="false"/>
          <w:iCs w:val="false"/>
        </w:rPr>
      </w:pPr>
      <w:r>
        <w:rPr>
          <w:b/>
          <w:i w:val="false"/>
          <w:iCs w:val="false"/>
          <w:sz w:val="28"/>
          <w:szCs w:val="28"/>
          <w:shd w:fill="auto" w:val="clear"/>
        </w:rPr>
        <w:t xml:space="preserve">Консолидированный бюджет </w:t>
      </w:r>
    </w:p>
    <w:p>
      <w:pPr>
        <w:pStyle w:val="Normal"/>
        <w:ind w:firstLine="709"/>
        <w:jc w:val="both"/>
        <w:rPr>
          <w:i w:val="false"/>
          <w:i w:val="false"/>
          <w:iCs w:val="false"/>
        </w:rPr>
      </w:pPr>
      <w:r>
        <w:rPr>
          <w:i w:val="false"/>
          <w:iCs w:val="false"/>
          <w:sz w:val="28"/>
          <w:szCs w:val="28"/>
          <w:shd w:fill="auto" w:val="clear"/>
        </w:rPr>
        <w:t>Общий объем доходов бюджета округа на 2025 год запланирован в сумме 1450,31 млн. рублей. На долю налоговых и не налоговых доходов бюджета округа в 2025 году приходится 16,2 % доходов бюджета округа.</w:t>
      </w:r>
    </w:p>
    <w:p>
      <w:pPr>
        <w:pStyle w:val="Normal"/>
        <w:ind w:firstLine="709"/>
        <w:jc w:val="both"/>
        <w:rPr>
          <w:i w:val="false"/>
          <w:i w:val="false"/>
          <w:iCs w:val="false"/>
        </w:rPr>
      </w:pPr>
      <w:r>
        <w:rPr>
          <w:i w:val="false"/>
          <w:iCs w:val="false"/>
          <w:sz w:val="28"/>
          <w:szCs w:val="28"/>
          <w:shd w:fill="auto" w:val="clear"/>
        </w:rPr>
        <w:t>Общий объем расходов бюджета округа на 2025 год оценивается в 1508,18 млн. рублей. Расходная часть бюджета округа сформирована на основе 14 муниципальных программ, охватывающих все сферы деятельности органов местного самоуправления.</w:t>
      </w:r>
    </w:p>
    <w:p>
      <w:pPr>
        <w:pStyle w:val="Normal"/>
        <w:ind w:firstLine="709"/>
        <w:jc w:val="both"/>
        <w:rPr>
          <w:i w:val="false"/>
          <w:i w:val="false"/>
          <w:iCs w:val="false"/>
        </w:rPr>
      </w:pPr>
      <w:r>
        <w:rPr>
          <w:i w:val="false"/>
          <w:iCs w:val="false"/>
          <w:sz w:val="28"/>
          <w:szCs w:val="28"/>
          <w:shd w:fill="auto" w:val="clear"/>
        </w:rPr>
        <w:t>Ожидается, что в 2025 году дефицит бюджета округа составит          60,2 млн. рублей, до конца прогнозного периода дефицита в бюджете округа не ожидается.</w:t>
      </w:r>
    </w:p>
    <w:p>
      <w:pPr>
        <w:pStyle w:val="Normal"/>
        <w:ind w:firstLine="709"/>
        <w:jc w:val="both"/>
        <w:rPr>
          <w:i w:val="false"/>
          <w:i w:val="false"/>
          <w:iCs w:val="false"/>
        </w:rPr>
      </w:pPr>
      <w:r>
        <w:rPr>
          <w:i w:val="false"/>
          <w:iCs w:val="false"/>
          <w:sz w:val="28"/>
          <w:szCs w:val="28"/>
          <w:shd w:fill="auto" w:val="clear"/>
          <w:lang w:eastAsia="en-US"/>
        </w:rPr>
        <w:t>Основные характеристики бюджета на 2026 год и плановый период 2027 и 2028 годов сформированы с учетом обязательств, направленных на обеспечение сбалансированности бюджета Туркменского муниципального округа Ставропольского края.</w:t>
      </w:r>
      <w:r>
        <w:rPr>
          <w:i w:val="false"/>
          <w:iCs w:val="false"/>
          <w:sz w:val="28"/>
          <w:szCs w:val="28"/>
          <w:shd w:fill="auto" w:val="clear"/>
        </w:rPr>
        <w:t xml:space="preserve"> </w:t>
      </w:r>
    </w:p>
    <w:p>
      <w:pPr>
        <w:pStyle w:val="Normal"/>
        <w:ind w:firstLine="708"/>
        <w:jc w:val="center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firstLine="708"/>
        <w:jc w:val="center"/>
        <w:rPr>
          <w:highlight w:val="none"/>
          <w:shd w:fill="auto" w:val="clear"/>
        </w:rPr>
      </w:pPr>
      <w:r>
        <w:rPr>
          <w:b/>
          <w:sz w:val="28"/>
          <w:szCs w:val="28"/>
          <w:shd w:fill="auto" w:val="clear"/>
        </w:rPr>
        <w:t>Труд и занятость</w:t>
      </w:r>
    </w:p>
    <w:p>
      <w:pPr>
        <w:pStyle w:val="Normal"/>
        <w:widowControl w:val="false"/>
        <w:ind w:firstLine="567"/>
        <w:jc w:val="both"/>
        <w:rPr>
          <w:highlight w:val="none"/>
          <w:shd w:fill="auto" w:val="clear"/>
        </w:rPr>
      </w:pPr>
      <w:r>
        <w:rPr>
          <w:rFonts w:eastAsia="Lucida Sans Unicode"/>
          <w:sz w:val="28"/>
          <w:szCs w:val="28"/>
          <w:shd w:fill="auto" w:val="clear"/>
        </w:rPr>
        <w:t xml:space="preserve">За январь-март 2025 года среднесписочная численность </w:t>
      </w:r>
      <w:r>
        <w:rPr>
          <w:sz w:val="28"/>
          <w:szCs w:val="28"/>
          <w:shd w:fill="auto" w:val="clear"/>
        </w:rPr>
        <w:t>работников организаций (крупные и средние организации, включая организации с численностью работников до 15 человек, без субъектов малого предпринимательства) составила 2,718</w:t>
      </w:r>
      <w:r>
        <w:rPr>
          <w:rFonts w:eastAsia="Lucida Sans Unicode"/>
          <w:sz w:val="28"/>
          <w:szCs w:val="28"/>
          <w:shd w:fill="auto" w:val="clear"/>
        </w:rPr>
        <w:t xml:space="preserve"> тыс. человек, что составляет 97,2 % к уровню 2024 года. К 2028 году данный показатель незначительно уменьшится и составит 2,69 тыс. человек.</w:t>
      </w:r>
    </w:p>
    <w:p>
      <w:pPr>
        <w:pStyle w:val="Normal"/>
        <w:widowControl w:val="false"/>
        <w:ind w:firstLine="567"/>
        <w:jc w:val="both"/>
        <w:rPr>
          <w:highlight w:val="none"/>
          <w:shd w:fill="auto" w:val="clear"/>
        </w:rPr>
      </w:pPr>
      <w:r>
        <w:rPr>
          <w:rFonts w:eastAsia="Lucida Sans Unicode"/>
          <w:sz w:val="28"/>
          <w:szCs w:val="28"/>
          <w:shd w:fill="auto" w:val="clear"/>
        </w:rPr>
        <w:t xml:space="preserve">Продолжается тенденция, начавшаяся с 2023 года, по увеличению заработной платы. Так, номинальная начисленная среднемесячная заработная плата работников организаций в январе-июне 2025 года увеличилась в сравнении с аналогичным периодом 2024 года на 9,7 % и составила 44 889,8 рублей. Ожидается, что номинальная начисленная среднемесячная заработная плата работников организаций по итогам 2025 года повысится до 48 696 рублей при темпе роста к 2024 году 111,8 %. </w:t>
      </w:r>
    </w:p>
    <w:p>
      <w:pPr>
        <w:pStyle w:val="Normal"/>
        <w:widowControl w:val="false"/>
        <w:ind w:firstLine="567"/>
        <w:jc w:val="both"/>
        <w:rPr>
          <w:highlight w:val="none"/>
          <w:shd w:fill="auto" w:val="clear"/>
        </w:rPr>
      </w:pPr>
      <w:r>
        <w:rPr>
          <w:rFonts w:eastAsia="Lucida Sans Unicode"/>
          <w:sz w:val="28"/>
          <w:szCs w:val="28"/>
          <w:shd w:fill="auto" w:val="clear"/>
        </w:rPr>
        <w:t>В 2025 году прогнозируется увеличение фонда заработной платы работников организаций на 9,0 % в сравнении с 2024 годом.</w:t>
      </w:r>
    </w:p>
    <w:p>
      <w:pPr>
        <w:pStyle w:val="Normal"/>
        <w:widowControl w:val="false"/>
        <w:ind w:firstLine="567"/>
        <w:jc w:val="both"/>
        <w:rPr>
          <w:highlight w:val="none"/>
          <w:shd w:fill="auto" w:val="clear"/>
        </w:rPr>
      </w:pPr>
      <w:r>
        <w:rPr>
          <w:rFonts w:eastAsia="Lucida Sans Unicode"/>
          <w:sz w:val="28"/>
          <w:szCs w:val="28"/>
          <w:shd w:fill="auto" w:val="clear"/>
        </w:rPr>
        <w:t xml:space="preserve">На конец июня 2025 года в качестве безработных граждан в органах службы занятости населения зарегистрировано 94 человека. </w:t>
      </w:r>
      <w:r>
        <w:rPr>
          <w:sz w:val="28"/>
          <w:szCs w:val="28"/>
          <w:shd w:fill="auto" w:val="clear"/>
        </w:rPr>
        <w:t>Ожидается, что по итогам 2025 года число безработных составит 84 человека, п</w:t>
      </w:r>
      <w:r>
        <w:rPr>
          <w:color w:val="000000"/>
          <w:sz w:val="28"/>
          <w:szCs w:val="28"/>
          <w:shd w:fill="auto" w:val="clear"/>
        </w:rPr>
        <w:t xml:space="preserve">о расчетам </w:t>
      </w:r>
      <w:r>
        <w:rPr>
          <w:sz w:val="28"/>
          <w:szCs w:val="28"/>
          <w:shd w:fill="auto" w:val="clear"/>
        </w:rPr>
        <w:t>к концу прогнозного периода уровень зарегистрированной безработицы составит 0,4 %.</w:t>
      </w:r>
    </w:p>
    <w:p>
      <w:pPr>
        <w:pStyle w:val="Normal"/>
        <w:ind w:firstLine="708"/>
        <w:jc w:val="center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firstLine="708"/>
        <w:jc w:val="center"/>
        <w:rPr>
          <w:highlight w:val="none"/>
          <w:shd w:fill="auto" w:val="clear"/>
        </w:rPr>
      </w:pPr>
      <w:r>
        <w:rPr>
          <w:b/>
          <w:sz w:val="28"/>
          <w:szCs w:val="28"/>
          <w:shd w:fill="auto" w:val="clear"/>
        </w:rPr>
        <w:t>Развитие социальной сферы</w:t>
      </w:r>
    </w:p>
    <w:p>
      <w:pPr>
        <w:pStyle w:val="Normal"/>
        <w:ind w:firstLine="708"/>
        <w:jc w:val="both"/>
        <w:rPr>
          <w:highlight w:val="none"/>
          <w:shd w:fill="auto" w:val="clear"/>
        </w:rPr>
      </w:pPr>
      <w:r>
        <w:rPr>
          <w:sz w:val="28"/>
          <w:szCs w:val="28"/>
          <w:shd w:fill="auto" w:val="clear"/>
        </w:rPr>
        <w:t xml:space="preserve">По итогам 2024 года численность в дошкольных образовательных учреждениях округа составила 1162 ребенка (в 2023 году - 1196 детей). К концу прогнозного периода в базовом варианте численность детей, посещающих дошкольные образовательные учреждения, останется на таком же уровне -  1162. </w:t>
      </w:r>
    </w:p>
    <w:p>
      <w:pPr>
        <w:pStyle w:val="Normal"/>
        <w:ind w:firstLine="708"/>
        <w:jc w:val="both"/>
        <w:rPr>
          <w:highlight w:val="none"/>
          <w:shd w:fill="auto" w:val="clear"/>
        </w:rPr>
      </w:pPr>
      <w:r>
        <w:rPr>
          <w:sz w:val="28"/>
          <w:szCs w:val="28"/>
          <w:shd w:fill="auto" w:val="clear"/>
        </w:rPr>
        <w:t>Обеспеченность больничными койками к 2028 году в базовом варианте составит 96 коек на 10 тыс. населения, общедоступными библиотеками - 80 учреждений на 100 тыс. человек населения, учреждениями культурно-досугового типа – 89 учреждений на 100 тыс. человек населения.</w:t>
      </w:r>
    </w:p>
    <w:p>
      <w:pPr>
        <w:pStyle w:val="Normal"/>
        <w:ind w:firstLine="708"/>
        <w:jc w:val="both"/>
        <w:rPr>
          <w:highlight w:val="none"/>
          <w:shd w:fill="auto" w:val="clear"/>
        </w:rPr>
      </w:pPr>
      <w:r>
        <w:rPr>
          <w:sz w:val="28"/>
          <w:szCs w:val="28"/>
          <w:shd w:fill="auto" w:val="clear"/>
        </w:rPr>
        <w:t>Предварительная оценка показателей Прогноза по итогам 2025 года, а также достижение показателей Прогноза в плановом периоде 2026-2028 годов произведены с учетом основных параметров и результатов реализации муниципальных программ Туркменского муниципального округа.</w:t>
      </w:r>
    </w:p>
    <w:p>
      <w:pPr>
        <w:pStyle w:val="Normal"/>
        <w:ind w:firstLine="708"/>
        <w:jc w:val="both"/>
        <w:rPr>
          <w:highlight w:val="none"/>
          <w:shd w:fill="auto" w:val="clear"/>
        </w:rPr>
      </w:pPr>
      <w:r>
        <w:rPr>
          <w:sz w:val="28"/>
          <w:szCs w:val="28"/>
          <w:shd w:fill="auto" w:val="clear"/>
        </w:rPr>
        <w:t>Базовый вариант Прогноза предлагается использовать для разработки параметров бюджета Туркменского муниципального округа на 2026 год и плановый период 2027 и 2028 годов.</w:t>
      </w:r>
    </w:p>
    <w:p>
      <w:pPr>
        <w:pStyle w:val="Normal"/>
        <w:rPr>
          <w:sz w:val="28"/>
          <w:szCs w:val="28"/>
          <w:highlight w:val="none"/>
          <w:shd w:fill="auto" w:val="clear"/>
        </w:rPr>
      </w:pPr>
      <w:r>
        <w:rPr>
          <w:sz w:val="28"/>
          <w:szCs w:val="28"/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swiss"/>
    <w:pitch w:val="variable"/>
  </w:font>
  <w:font w:name="Liberation Sans">
    <w:altName w:val="Arial"/>
    <w:charset w:val="01"/>
    <w:family w:val="swiss"/>
    <w:pitch w:val="variable"/>
  </w:font>
  <w:font w:name="Tahoma">
    <w:charset w:val="01"/>
    <w:family w:val="roman"/>
    <w:pitch w:val="variable"/>
  </w:font>
  <w:font w:name="Courier New">
    <w:charset w:val="01"/>
    <w:family w:val="roman"/>
    <w:pitch w:val="variable"/>
  </w:font>
  <w:font w:name="Calibri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360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6624f2"/>
    <w:pPr>
      <w:widowControl/>
      <w:suppressAutoHyphens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1">
    <w:name w:val="heading 1"/>
    <w:basedOn w:val="Normal"/>
    <w:next w:val="Normal"/>
    <w:link w:val="1"/>
    <w:qFormat/>
    <w:rsid w:val="00ab1452"/>
    <w:pPr>
      <w:keepNext w:val="true"/>
      <w:tabs>
        <w:tab w:val="clear" w:pos="708"/>
        <w:tab w:val="left" w:pos="1070" w:leader="none"/>
      </w:tabs>
      <w:suppressAutoHyphens w:val="true"/>
      <w:ind w:hanging="360" w:left="1070"/>
      <w:jc w:val="both"/>
      <w:outlineLvl w:val="0"/>
    </w:pPr>
    <w:rPr>
      <w:sz w:val="28"/>
      <w:lang w:eastAsia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ntStyle12" w:customStyle="1">
    <w:name w:val="Font Style12"/>
    <w:basedOn w:val="DefaultParagraphFont"/>
    <w:uiPriority w:val="99"/>
    <w:qFormat/>
    <w:rsid w:val="00046175"/>
    <w:rPr>
      <w:rFonts w:ascii="Arial" w:hAnsi="Arial" w:cs="Arial"/>
      <w:sz w:val="18"/>
      <w:szCs w:val="18"/>
    </w:rPr>
  </w:style>
  <w:style w:type="character" w:styleId="1" w:customStyle="1">
    <w:name w:val="Заголовок 1 Знак"/>
    <w:basedOn w:val="DefaultParagraphFont"/>
    <w:qFormat/>
    <w:rsid w:val="00ab1452"/>
    <w:rPr>
      <w:sz w:val="28"/>
      <w:szCs w:val="24"/>
      <w:lang w:eastAsia="ar-SA"/>
    </w:rPr>
  </w:style>
  <w:style w:type="character" w:styleId="FontStyle17" w:customStyle="1">
    <w:name w:val="Font Style17"/>
    <w:basedOn w:val="DefaultParagraphFont"/>
    <w:uiPriority w:val="99"/>
    <w:qFormat/>
    <w:rsid w:val="00875fc4"/>
    <w:rPr>
      <w:rFonts w:ascii="Times New Roman" w:hAnsi="Times New Roman" w:cs="Times New Roman"/>
      <w:sz w:val="28"/>
      <w:szCs w:val="28"/>
    </w:rPr>
  </w:style>
  <w:style w:type="character" w:styleId="Style13" w:customStyle="1">
    <w:name w:val="Основной текст Знак"/>
    <w:basedOn w:val="DefaultParagraphFont"/>
    <w:qFormat/>
    <w:rsid w:val="001972a2"/>
    <w:rPr>
      <w:sz w:val="28"/>
      <w:szCs w:val="24"/>
    </w:rPr>
  </w:style>
  <w:style w:type="character" w:styleId="PageNumber">
    <w:name w:val="page number"/>
    <w:basedOn w:val="DefaultParagraphFont"/>
    <w:qFormat/>
    <w:rsid w:val="00eb217d"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Droid Sans Devanagari"/>
      <w:sz w:val="28"/>
      <w:szCs w:val="28"/>
    </w:rPr>
  </w:style>
  <w:style w:type="paragraph" w:styleId="BodyText">
    <w:name w:val="Body Text"/>
    <w:basedOn w:val="Normal"/>
    <w:link w:val="Style13"/>
    <w:rsid w:val="001972a2"/>
    <w:pPr>
      <w:jc w:val="center"/>
    </w:pPr>
    <w:rPr>
      <w:sz w:val="28"/>
    </w:rPr>
  </w:style>
  <w:style w:type="paragraph" w:styleId="List">
    <w:name w:val="List"/>
    <w:basedOn w:val="BodyText"/>
    <w:pPr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Droid Sans Devanagari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Noto Sans"/>
    </w:rPr>
  </w:style>
  <w:style w:type="paragraph" w:styleId="BalloonText">
    <w:name w:val="Balloon Text"/>
    <w:basedOn w:val="Normal"/>
    <w:semiHidden/>
    <w:qFormat/>
    <w:rsid w:val="002b51ba"/>
    <w:pPr/>
    <w:rPr>
      <w:rFonts w:ascii="Tahoma" w:hAnsi="Tahoma" w:cs="Tahoma"/>
      <w:sz w:val="16"/>
      <w:szCs w:val="16"/>
    </w:rPr>
  </w:style>
  <w:style w:type="paragraph" w:styleId="ConsNonformat" w:customStyle="1">
    <w:name w:val="ConsNonformat"/>
    <w:qFormat/>
    <w:rsid w:val="00046175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Arial" w:cs="Courier New"/>
      <w:color w:val="auto"/>
      <w:kern w:val="0"/>
      <w:sz w:val="20"/>
      <w:szCs w:val="20"/>
      <w:lang w:val="ru-RU" w:eastAsia="ar-SA" w:bidi="ar-SA"/>
    </w:rPr>
  </w:style>
  <w:style w:type="paragraph" w:styleId="21" w:customStyle="1">
    <w:name w:val="Основной текст с отступом 21"/>
    <w:basedOn w:val="Normal"/>
    <w:qFormat/>
    <w:rsid w:val="00c9632b"/>
    <w:pPr>
      <w:ind w:firstLine="900"/>
      <w:jc w:val="both"/>
    </w:pPr>
    <w:rPr>
      <w:lang w:eastAsia="ar-SA"/>
    </w:rPr>
  </w:style>
  <w:style w:type="paragraph" w:styleId="ListParagraph">
    <w:name w:val="List Paragraph"/>
    <w:basedOn w:val="Normal"/>
    <w:qFormat/>
    <w:rsid w:val="00a1501b"/>
    <w:pPr>
      <w:spacing w:lineRule="auto" w:line="276" w:before="0" w:after="200"/>
      <w:ind w:left="720"/>
    </w:pPr>
    <w:rPr>
      <w:rFonts w:ascii="Calibri" w:hAnsi="Calibri" w:eastAsia="Calibri"/>
      <w:sz w:val="22"/>
      <w:szCs w:val="22"/>
      <w:lang w:eastAsia="ar-SA"/>
    </w:rPr>
  </w:style>
  <w:style w:type="paragraph" w:styleId="NoSpacing">
    <w:name w:val="No Spacing"/>
    <w:uiPriority w:val="1"/>
    <w:qFormat/>
    <w:rsid w:val="001972a2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ru-RU" w:eastAsia="en-US" w:bidi="ar-SA"/>
    </w:rPr>
  </w:style>
  <w:style w:type="paragraph" w:styleId="ConsPlusNormal" w:customStyle="1">
    <w:name w:val="ConsPlusNormal"/>
    <w:uiPriority w:val="99"/>
    <w:qFormat/>
    <w:rsid w:val="00ca03c2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numbering" w:styleId="Style16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b339f8"/>
    <w:rPr>
      <w:sz w:val="22"/>
      <w:szCs w:val="2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076080-78CA-4496-9ADB-1FFB443FE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1950</TotalTime>
  <Application>LibreOffice/24.8.5.2$Linux_X86_64 LibreOffice_project/480$Build-2</Application>
  <AppVersion>15.0000</AppVersion>
  <Pages>4</Pages>
  <Words>1320</Words>
  <Characters>8491</Characters>
  <CharactersWithSpaces>9833</CharactersWithSpaces>
  <Paragraphs>49</Paragraphs>
  <Company>Work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2021-07-23T08:07:00Z</dcterms:created>
  <dc:creator>Степановна</dc:creator>
  <dc:description/>
  <dc:language>ru-RU</dc:language>
  <cp:lastModifiedBy/>
  <cp:lastPrinted>2025-10-14T08:50:25Z</cp:lastPrinted>
  <dcterms:modified xsi:type="dcterms:W3CDTF">2025-10-30T12:00:22Z</dcterms:modified>
  <cp:revision>74</cp:revision>
  <dc:subject/>
  <dc:title>Пояснительная  записка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